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A4" w:rsidRDefault="00681E3A" w:rsidP="007F3520">
      <w:r>
        <w:rPr>
          <w:noProof/>
          <w:color w:val="1F497D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4079411</wp:posOffset>
            </wp:positionH>
            <wp:positionV relativeFrom="paragraph">
              <wp:posOffset>71101</wp:posOffset>
            </wp:positionV>
            <wp:extent cx="1601470" cy="407035"/>
            <wp:effectExtent l="0" t="0" r="0" b="0"/>
            <wp:wrapThrough wrapText="bothSides">
              <wp:wrapPolygon edited="0">
                <wp:start x="0" y="0"/>
                <wp:lineTo x="0" y="20218"/>
                <wp:lineTo x="21326" y="20218"/>
                <wp:lineTo x="21326" y="0"/>
                <wp:lineTo x="0" y="0"/>
              </wp:wrapPolygon>
            </wp:wrapThrough>
            <wp:docPr id="9" name="Picture 9" descr="TPO_TSI_logo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O_TSI_logos-0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E3A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5670275</wp:posOffset>
            </wp:positionH>
            <wp:positionV relativeFrom="paragraph">
              <wp:posOffset>177421</wp:posOffset>
            </wp:positionV>
            <wp:extent cx="1285200" cy="230400"/>
            <wp:effectExtent l="0" t="0" r="0" b="0"/>
            <wp:wrapThrough wrapText="bothSides">
              <wp:wrapPolygon edited="0">
                <wp:start x="0" y="0"/>
                <wp:lineTo x="0" y="19691"/>
                <wp:lineTo x="21141" y="19691"/>
                <wp:lineTo x="21141" y="0"/>
                <wp:lineTo x="0" y="0"/>
              </wp:wrapPolygon>
            </wp:wrapThrough>
            <wp:docPr id="6" name="Picture 6" descr="C:\Users\Sue\OneDrive - LD Property Management\Logo and LD photos\safeagent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OneDrive - LD Property Management\Logo and LD photos\safeagent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045" w:rsidRPr="007F3520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5017366</wp:posOffset>
            </wp:positionH>
            <wp:positionV relativeFrom="margin">
              <wp:posOffset>98362</wp:posOffset>
            </wp:positionV>
            <wp:extent cx="685800" cy="342900"/>
            <wp:effectExtent l="0" t="0" r="0" b="0"/>
            <wp:wrapSquare wrapText="bothSides"/>
            <wp:docPr id="5" name="Picture 5" descr="C:\Users\Sue\OneDrive - LD Property Management\Logos\TSI-Cod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OneDrive - LD Property Management\Logos\TSI-Cod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045" w:rsidRPr="00DE3387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144780</wp:posOffset>
            </wp:positionV>
            <wp:extent cx="7239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032" y="19440"/>
                <wp:lineTo x="21032" y="0"/>
                <wp:lineTo x="0" y="0"/>
              </wp:wrapPolygon>
            </wp:wrapThrough>
            <wp:docPr id="3" name="Picture 3" descr="C:\Users\Admin\OneDrive - LD Property Management\Logos\The Property ombud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 - LD Property Management\Logos\The Property ombudsm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914" w:rsidRPr="00DE338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133350</wp:posOffset>
            </wp:positionV>
            <wp:extent cx="676275" cy="344805"/>
            <wp:effectExtent l="0" t="0" r="9525" b="0"/>
            <wp:wrapThrough wrapText="bothSides">
              <wp:wrapPolygon edited="0">
                <wp:start x="0" y="0"/>
                <wp:lineTo x="0" y="20287"/>
                <wp:lineTo x="21296" y="20287"/>
                <wp:lineTo x="21296" y="0"/>
                <wp:lineTo x="0" y="0"/>
              </wp:wrapPolygon>
            </wp:wrapThrough>
            <wp:docPr id="2" name="Picture 2" descr="C:\Users\Admin\OneDrive - LD Property Management\Logos\Trading standards -small 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 - LD Property Management\Logos\Trading standards -small squa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8"/>
                    <a:stretch/>
                  </pic:blipFill>
                  <pic:spPr bwMode="auto">
                    <a:xfrm>
                      <a:off x="0" y="0"/>
                      <a:ext cx="6762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914" w:rsidRPr="00DE3387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1514475" cy="537845"/>
            <wp:effectExtent l="0" t="0" r="9525" b="0"/>
            <wp:wrapThrough wrapText="bothSides">
              <wp:wrapPolygon edited="0">
                <wp:start x="0" y="0"/>
                <wp:lineTo x="0" y="20656"/>
                <wp:lineTo x="21464" y="20656"/>
                <wp:lineTo x="21464" y="0"/>
                <wp:lineTo x="0" y="0"/>
              </wp:wrapPolygon>
            </wp:wrapThrough>
            <wp:docPr id="1" name="Picture 1" descr="C:\Users\Admin\OneDrive - LD Property Management\Logos\LD Proeprty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 - LD Property Management\Logos\LD Proeprty hou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520" w:rsidRPr="007F3520">
        <w:t xml:space="preserve"> </w:t>
      </w:r>
      <w:r w:rsidR="007F3520" w:rsidRPr="007F3520">
        <w:rPr>
          <w:noProof/>
          <w:lang w:val="en-GB" w:eastAsia="en-GB"/>
        </w:rPr>
        <w:t xml:space="preserve"> </w:t>
      </w:r>
    </w:p>
    <w:p w:rsidR="00157914" w:rsidRDefault="00157914" w:rsidP="00164DA4">
      <w:pPr>
        <w:spacing w:after="0"/>
        <w:rPr>
          <w:sz w:val="18"/>
        </w:rPr>
      </w:pPr>
    </w:p>
    <w:p w:rsidR="00157914" w:rsidRDefault="00157914" w:rsidP="00164DA4">
      <w:pPr>
        <w:spacing w:after="0"/>
        <w:rPr>
          <w:sz w:val="18"/>
        </w:rPr>
      </w:pPr>
    </w:p>
    <w:p w:rsidR="00DE3387" w:rsidRDefault="00DE3387" w:rsidP="00164DA4">
      <w:pPr>
        <w:spacing w:after="0"/>
        <w:rPr>
          <w:rStyle w:val="Hyperlink"/>
          <w:sz w:val="18"/>
        </w:rPr>
      </w:pPr>
      <w:r w:rsidRPr="00DE3387">
        <w:rPr>
          <w:sz w:val="18"/>
        </w:rPr>
        <w:t xml:space="preserve">18A Winchester Street, Salisbury, Wiltshire, SP1 1HG  01722 330133 </w:t>
      </w:r>
      <w:hyperlink r:id="rId13" w:history="1">
        <w:r w:rsidR="009F2BA7" w:rsidRPr="00B93163">
          <w:rPr>
            <w:rStyle w:val="Hyperlink"/>
            <w:sz w:val="18"/>
          </w:rPr>
          <w:t>www.ldproperty.co.uk</w:t>
        </w:r>
      </w:hyperlink>
    </w:p>
    <w:p w:rsidR="00C37D30" w:rsidRPr="00C37D30" w:rsidRDefault="00C37D30" w:rsidP="00164DA4">
      <w:pPr>
        <w:spacing w:after="0"/>
        <w:rPr>
          <w:sz w:val="16"/>
          <w:szCs w:val="16"/>
        </w:rPr>
      </w:pPr>
    </w:p>
    <w:tbl>
      <w:tblPr>
        <w:tblStyle w:val="TableGrid"/>
        <w:tblW w:w="10951" w:type="dxa"/>
        <w:tblLook w:val="04A0" w:firstRow="1" w:lastRow="0" w:firstColumn="1" w:lastColumn="0" w:noHBand="0" w:noVBand="1"/>
      </w:tblPr>
      <w:tblGrid>
        <w:gridCol w:w="5389"/>
        <w:gridCol w:w="1845"/>
        <w:gridCol w:w="1844"/>
        <w:gridCol w:w="1873"/>
      </w:tblGrid>
      <w:tr w:rsidR="00DE3387" w:rsidRPr="00397826" w:rsidTr="00C37D30">
        <w:trPr>
          <w:trHeight w:val="195"/>
        </w:trPr>
        <w:tc>
          <w:tcPr>
            <w:tcW w:w="5389" w:type="dxa"/>
          </w:tcPr>
          <w:p w:rsidR="00DE3387" w:rsidRPr="00397826" w:rsidRDefault="00DE338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5654D9" w:rsidP="005654D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Fully Managed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5654D9" w:rsidP="005654D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Tenant find and rent collection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5654D9" w:rsidP="005654D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Tenant find</w:t>
            </w:r>
          </w:p>
        </w:tc>
      </w:tr>
      <w:tr w:rsidR="00DE3387" w:rsidRPr="00397826" w:rsidTr="00C37D30">
        <w:trPr>
          <w:trHeight w:val="20"/>
        </w:trPr>
        <w:tc>
          <w:tcPr>
            <w:tcW w:w="5389" w:type="dxa"/>
          </w:tcPr>
          <w:p w:rsidR="00164DA4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Set up including photos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Advertising through website, portals, window, salisbury journal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Accompanied viewings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Credit referencing on tenants over 18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Right to rent checks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Drafting of tenancy agreement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Inventory with photos- completed in house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E-mail landlords copy of inventory on 8</w:t>
            </w:r>
            <w:r w:rsidRPr="00397826">
              <w:rPr>
                <w:rFonts w:cstheme="minorHAnsi"/>
                <w:sz w:val="17"/>
                <w:szCs w:val="17"/>
                <w:vertAlign w:val="superscript"/>
              </w:rPr>
              <w:t>th</w:t>
            </w:r>
            <w:r w:rsidRPr="00397826">
              <w:rPr>
                <w:rFonts w:cstheme="minorHAnsi"/>
                <w:sz w:val="17"/>
                <w:szCs w:val="17"/>
              </w:rPr>
              <w:t xml:space="preserve"> day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Collect and register deposit with Tenancy Deposit Scheme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5654D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Arranging pre-tenancy gas check, EPC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6F001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Electrical checks and cleaning if required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6F001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Informing utility companies of change of tenancy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6F001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Ensuring tenants are given all the correct legal documentation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6F001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Collection of first months rent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6F001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Set up standing orders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DE3387" w:rsidRPr="00397826" w:rsidTr="00C37D30">
        <w:trPr>
          <w:trHeight w:val="54"/>
        </w:trPr>
        <w:tc>
          <w:tcPr>
            <w:tcW w:w="5389" w:type="dxa"/>
          </w:tcPr>
          <w:p w:rsidR="00DE3387" w:rsidRPr="00397826" w:rsidRDefault="006F001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Provide Landlord with tenants contact details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DE3387" w:rsidRPr="00397826" w:rsidRDefault="006F0019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DE3387" w:rsidRPr="00397826" w:rsidRDefault="006F0019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shd w:val="clear" w:color="auto" w:fill="CCECFF"/>
          </w:tcPr>
          <w:p w:rsidR="00DE3387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Provide Landlord with move in pack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vMerge w:val="restart"/>
            <w:tcBorders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Monthly rent collection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vMerge/>
            <w:tcBorders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Chase rent arrears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vMerge/>
            <w:tcBorders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Monthly statements by email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vMerge/>
            <w:tcBorders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b/>
                <w:sz w:val="17"/>
                <w:szCs w:val="17"/>
              </w:rPr>
            </w:pPr>
            <w:r w:rsidRPr="00397826">
              <w:rPr>
                <w:rFonts w:cstheme="minorHAnsi"/>
                <w:b/>
                <w:sz w:val="17"/>
                <w:szCs w:val="17"/>
              </w:rPr>
              <w:t>Payment of rent on 16</w:t>
            </w:r>
            <w:r w:rsidRPr="00397826">
              <w:rPr>
                <w:rFonts w:cstheme="minorHAnsi"/>
                <w:b/>
                <w:sz w:val="17"/>
                <w:szCs w:val="17"/>
                <w:vertAlign w:val="superscript"/>
              </w:rPr>
              <w:t>th</w:t>
            </w:r>
            <w:r w:rsidRPr="00397826">
              <w:rPr>
                <w:rFonts w:cstheme="minorHAnsi"/>
                <w:b/>
                <w:sz w:val="17"/>
                <w:szCs w:val="17"/>
              </w:rPr>
              <w:t xml:space="preserve"> of each month**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vMerge/>
            <w:tcBorders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Annual statements and invoices mailed out in April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shd w:val="clear" w:color="auto" w:fill="8EAADB" w:themeFill="accent5" w:themeFillTint="99"/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>*</w:t>
            </w:r>
          </w:p>
        </w:tc>
        <w:tc>
          <w:tcPr>
            <w:tcW w:w="1873" w:type="dxa"/>
            <w:vMerge/>
            <w:tcBorders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Arrange contractors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vMerge w:val="restart"/>
            <w:tcBorders>
              <w:right w:val="single" w:sz="4" w:space="0" w:color="FFFFFF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73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Quarterly inspections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vMerge/>
            <w:tcBorders>
              <w:right w:val="single" w:sz="4" w:space="0" w:color="FFFFFF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73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Inspection reports e-mailed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vMerge/>
            <w:tcBorders>
              <w:right w:val="single" w:sz="4" w:space="0" w:color="FFFFFF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73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 w:rsidP="006F0019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Provide tenants with out of hours emergency numbers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vMerge/>
            <w:tcBorders>
              <w:right w:val="single" w:sz="4" w:space="0" w:color="FFFFFF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73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Rental increases when required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vMerge/>
            <w:tcBorders>
              <w:right w:val="single" w:sz="4" w:space="0" w:color="FFFFFF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73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Service of section notice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vMerge/>
            <w:tcBorders>
              <w:right w:val="single" w:sz="4" w:space="0" w:color="FFFFFF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73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54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Inventory checkout and report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vMerge/>
            <w:tcBorders>
              <w:right w:val="single" w:sz="4" w:space="0" w:color="FFFFFF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73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D7962" w:rsidRPr="00397826" w:rsidTr="00C37D30">
        <w:trPr>
          <w:trHeight w:val="70"/>
        </w:trPr>
        <w:tc>
          <w:tcPr>
            <w:tcW w:w="5389" w:type="dxa"/>
          </w:tcPr>
          <w:p w:rsidR="008D7962" w:rsidRPr="00397826" w:rsidRDefault="008D7962">
            <w:pPr>
              <w:rPr>
                <w:rFonts w:cstheme="minorHAnsi"/>
                <w:sz w:val="17"/>
                <w:szCs w:val="17"/>
              </w:rPr>
            </w:pPr>
            <w:r w:rsidRPr="00397826">
              <w:rPr>
                <w:rFonts w:cstheme="minorHAnsi"/>
                <w:sz w:val="17"/>
                <w:szCs w:val="17"/>
              </w:rPr>
              <w:t xml:space="preserve">Negotiation deposit return to tenants </w:t>
            </w:r>
          </w:p>
        </w:tc>
        <w:tc>
          <w:tcPr>
            <w:tcW w:w="1845" w:type="dxa"/>
            <w:shd w:val="clear" w:color="auto" w:fill="2E74B5" w:themeFill="accent1" w:themeFillShade="BF"/>
          </w:tcPr>
          <w:p w:rsidR="008D7962" w:rsidRPr="00397826" w:rsidRDefault="008D7962" w:rsidP="006F0019">
            <w:pPr>
              <w:jc w:val="center"/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97826">
              <w:rPr>
                <w:rFonts w:cstheme="minorHAnsi"/>
                <w:color w:val="FFFFFF" w:themeColor="background1"/>
                <w:sz w:val="17"/>
                <w:szCs w:val="17"/>
              </w:rPr>
              <w:t>*</w:t>
            </w:r>
          </w:p>
        </w:tc>
        <w:tc>
          <w:tcPr>
            <w:tcW w:w="1844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73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D7962" w:rsidRPr="00397826" w:rsidRDefault="008D7962" w:rsidP="006F0019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</w:tbl>
    <w:p w:rsidR="00157914" w:rsidRPr="00157914" w:rsidRDefault="00157914" w:rsidP="008D7962">
      <w:pPr>
        <w:spacing w:after="0"/>
        <w:rPr>
          <w:rFonts w:cstheme="minorHAnsi"/>
          <w:b/>
          <w:sz w:val="12"/>
          <w:szCs w:val="12"/>
        </w:rPr>
      </w:pPr>
    </w:p>
    <w:p w:rsidR="000C775A" w:rsidRPr="00157914" w:rsidRDefault="000C775A" w:rsidP="000C775A">
      <w:pPr>
        <w:spacing w:after="0"/>
        <w:rPr>
          <w:rFonts w:cstheme="minorHAnsi"/>
          <w:b/>
          <w:sz w:val="18"/>
          <w:szCs w:val="18"/>
        </w:rPr>
      </w:pPr>
      <w:r w:rsidRPr="00157914">
        <w:rPr>
          <w:rFonts w:cstheme="minorHAnsi"/>
          <w:b/>
          <w:sz w:val="18"/>
          <w:szCs w:val="18"/>
        </w:rPr>
        <w:t xml:space="preserve">** </w:t>
      </w:r>
      <w:r w:rsidR="00AB3F55">
        <w:rPr>
          <w:rFonts w:cstheme="minorHAnsi"/>
          <w:b/>
          <w:sz w:val="18"/>
          <w:szCs w:val="18"/>
        </w:rPr>
        <w:t>P</w:t>
      </w:r>
      <w:r w:rsidRPr="00157914">
        <w:rPr>
          <w:rFonts w:cstheme="minorHAnsi"/>
          <w:b/>
          <w:sz w:val="18"/>
          <w:szCs w:val="18"/>
        </w:rPr>
        <w:t>ayments made on nearest date to 16</w:t>
      </w:r>
      <w:r w:rsidRPr="00157914">
        <w:rPr>
          <w:rFonts w:cstheme="minorHAnsi"/>
          <w:b/>
          <w:sz w:val="18"/>
          <w:szCs w:val="18"/>
          <w:vertAlign w:val="superscript"/>
        </w:rPr>
        <w:t>th</w:t>
      </w:r>
      <w:r w:rsidRPr="00157914">
        <w:rPr>
          <w:rFonts w:cstheme="minorHAnsi"/>
          <w:b/>
          <w:sz w:val="18"/>
          <w:szCs w:val="18"/>
        </w:rPr>
        <w:t xml:space="preserve"> depending on weekends and bank holidays</w:t>
      </w:r>
    </w:p>
    <w:p w:rsidR="000C775A" w:rsidRPr="00157914" w:rsidRDefault="000C775A" w:rsidP="000C775A">
      <w:pPr>
        <w:spacing w:after="0"/>
        <w:rPr>
          <w:rFonts w:cstheme="minorHAnsi"/>
          <w:b/>
          <w:sz w:val="12"/>
          <w:szCs w:val="12"/>
        </w:rPr>
      </w:pP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>Rent warranty for non</w:t>
      </w:r>
      <w:r w:rsidR="00AB3F55">
        <w:rPr>
          <w:rFonts w:cstheme="minorHAnsi"/>
          <w:sz w:val="18"/>
          <w:szCs w:val="18"/>
        </w:rPr>
        <w:t>-</w:t>
      </w:r>
      <w:r w:rsidRPr="00157914">
        <w:rPr>
          <w:rFonts w:cstheme="minorHAnsi"/>
          <w:sz w:val="18"/>
          <w:szCs w:val="18"/>
        </w:rPr>
        <w:t>payment of rent up to £</w:t>
      </w:r>
      <w:r w:rsidR="00AB3F55">
        <w:rPr>
          <w:rFonts w:cstheme="minorHAnsi"/>
          <w:sz w:val="18"/>
          <w:szCs w:val="18"/>
        </w:rPr>
        <w:t>25</w:t>
      </w:r>
      <w:r w:rsidRPr="00157914">
        <w:rPr>
          <w:rFonts w:cstheme="minorHAnsi"/>
          <w:sz w:val="18"/>
          <w:szCs w:val="18"/>
        </w:rPr>
        <w:t>0</w:t>
      </w:r>
      <w:r w:rsidR="00AB3F55">
        <w:rPr>
          <w:rFonts w:cstheme="minorHAnsi"/>
          <w:sz w:val="18"/>
          <w:szCs w:val="18"/>
        </w:rPr>
        <w:t>0.00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bookmarkStart w:id="0" w:name="_GoBack"/>
      <w:bookmarkEnd w:id="0"/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</w:t>
      </w:r>
      <w:r w:rsidR="00AB3F55">
        <w:rPr>
          <w:rFonts w:cstheme="minorHAnsi"/>
          <w:sz w:val="18"/>
          <w:szCs w:val="18"/>
        </w:rPr>
        <w:t>260.00</w:t>
      </w:r>
      <w:r w:rsidR="00AB3F55">
        <w:rPr>
          <w:rFonts w:cstheme="minorHAnsi"/>
          <w:sz w:val="18"/>
          <w:szCs w:val="18"/>
        </w:rPr>
        <w:tab/>
        <w:t xml:space="preserve">                 </w:t>
      </w:r>
      <w:r w:rsidRPr="00157914">
        <w:rPr>
          <w:rFonts w:cstheme="minorHAnsi"/>
          <w:sz w:val="18"/>
          <w:szCs w:val="18"/>
        </w:rPr>
        <w:t xml:space="preserve">per </w:t>
      </w:r>
      <w:r w:rsidR="00AB3F55">
        <w:rPr>
          <w:rFonts w:cstheme="minorHAnsi"/>
          <w:sz w:val="18"/>
          <w:szCs w:val="18"/>
        </w:rPr>
        <w:t>calendar month</w:t>
      </w: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>Legal expenses cover to a maximum of £100,000</w:t>
      </w:r>
      <w:r w:rsidR="00AB3F55">
        <w:rPr>
          <w:rFonts w:cstheme="minorHAnsi"/>
          <w:sz w:val="18"/>
          <w:szCs w:val="18"/>
        </w:rPr>
        <w:t>.00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</w:p>
    <w:p w:rsidR="000C775A" w:rsidRPr="00157914" w:rsidRDefault="000C775A" w:rsidP="000C775A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775A" w:rsidRPr="00157914" w:rsidTr="00C37D30">
        <w:tc>
          <w:tcPr>
            <w:tcW w:w="10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 w:themeFill="accent1" w:themeFillShade="BF"/>
          </w:tcPr>
          <w:p w:rsidR="000C775A" w:rsidRPr="00157914" w:rsidRDefault="000C775A" w:rsidP="00F243F1">
            <w:pPr>
              <w:rPr>
                <w:rFonts w:cstheme="minorHAnsi"/>
                <w:b/>
                <w:sz w:val="18"/>
                <w:szCs w:val="18"/>
              </w:rPr>
            </w:pPr>
            <w:r w:rsidRPr="0015791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Fully managed                                                                                                                                                                                                        </w:t>
            </w:r>
            <w:r w:rsidRPr="00157914">
              <w:rPr>
                <w:rFonts w:cstheme="minorHAnsi"/>
                <w:color w:val="FFFFFF" w:themeColor="background1"/>
                <w:sz w:val="18"/>
                <w:szCs w:val="18"/>
              </w:rPr>
              <w:t>including VAT</w:t>
            </w:r>
          </w:p>
        </w:tc>
      </w:tr>
    </w:tbl>
    <w:p w:rsidR="000C775A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Set up fee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£370.00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£444.00</w:t>
      </w:r>
    </w:p>
    <w:p w:rsidR="000C775A" w:rsidRPr="00157914" w:rsidRDefault="00187652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</w:t>
      </w:r>
      <w:r w:rsidR="000C775A" w:rsidRPr="00157914">
        <w:rPr>
          <w:rFonts w:cstheme="minorHAnsi"/>
          <w:sz w:val="18"/>
          <w:szCs w:val="18"/>
        </w:rPr>
        <w:t xml:space="preserve">  Monthly Fee Salisbury </w:t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  <w:t>12%</w:t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  <w:t>14.4%</w:t>
      </w:r>
    </w:p>
    <w:p w:rsidR="000C775A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Monthly fee other areas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13%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15.5%</w:t>
      </w:r>
    </w:p>
    <w:p w:rsidR="00C513B3" w:rsidRDefault="00C513B3" w:rsidP="00C513B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Pr="00157914">
        <w:rPr>
          <w:rFonts w:cstheme="minorHAnsi"/>
          <w:sz w:val="18"/>
          <w:szCs w:val="18"/>
        </w:rPr>
        <w:t xml:space="preserve">  </w:t>
      </w:r>
      <w:r w:rsidR="00BC329D">
        <w:rPr>
          <w:rFonts w:cstheme="minorHAnsi"/>
          <w:sz w:val="18"/>
          <w:szCs w:val="18"/>
        </w:rPr>
        <w:t>Mid-term s</w:t>
      </w:r>
      <w:r>
        <w:rPr>
          <w:rFonts w:cstheme="minorHAnsi"/>
          <w:sz w:val="18"/>
          <w:szCs w:val="18"/>
        </w:rPr>
        <w:t>et up fee (applicable on current tenancy</w:t>
      </w:r>
      <w:r w:rsidR="00BC329D">
        <w:rPr>
          <w:rFonts w:cstheme="minorHAnsi"/>
          <w:sz w:val="18"/>
          <w:szCs w:val="18"/>
        </w:rPr>
        <w:t xml:space="preserve"> where </w:t>
      </w:r>
      <w:r>
        <w:rPr>
          <w:rFonts w:cstheme="minorHAnsi"/>
          <w:sz w:val="18"/>
          <w:szCs w:val="18"/>
        </w:rPr>
        <w:t>another</w:t>
      </w:r>
      <w:r w:rsidR="00BC329D">
        <w:rPr>
          <w:rFonts w:cstheme="minorHAnsi"/>
          <w:sz w:val="18"/>
          <w:szCs w:val="18"/>
        </w:rPr>
        <w:t xml:space="preserve"> tenant is </w:t>
      </w:r>
      <w:r>
        <w:rPr>
          <w:rFonts w:cstheme="minorHAnsi"/>
          <w:sz w:val="18"/>
          <w:szCs w:val="18"/>
        </w:rPr>
        <w:t>to be added)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>£2</w:t>
      </w:r>
      <w:r>
        <w:rPr>
          <w:rFonts w:cstheme="minorHAnsi"/>
          <w:sz w:val="18"/>
          <w:szCs w:val="18"/>
        </w:rPr>
        <w:t>00</w:t>
      </w:r>
      <w:r w:rsidRPr="00157914">
        <w:rPr>
          <w:rFonts w:cstheme="minorHAnsi"/>
          <w:sz w:val="18"/>
          <w:szCs w:val="18"/>
        </w:rPr>
        <w:t>.00</w:t>
      </w:r>
    </w:p>
    <w:p w:rsidR="00C513B3" w:rsidRPr="00157914" w:rsidRDefault="00C513B3" w:rsidP="00C513B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C</w:t>
      </w:r>
      <w:r w:rsidRPr="00157914">
        <w:rPr>
          <w:rFonts w:cstheme="minorHAnsi"/>
          <w:sz w:val="18"/>
          <w:szCs w:val="18"/>
        </w:rPr>
        <w:t>redit checks per person</w:t>
      </w:r>
      <w:r>
        <w:rPr>
          <w:rFonts w:cstheme="minorHAnsi"/>
          <w:sz w:val="18"/>
          <w:szCs w:val="18"/>
        </w:rPr>
        <w:t xml:space="preserve"> (applicable on current tenancy if a tenant requesting another to be added)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£25.00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775A" w:rsidRPr="00157914" w:rsidTr="00C37D30">
        <w:tc>
          <w:tcPr>
            <w:tcW w:w="10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5" w:themeFillTint="99"/>
          </w:tcPr>
          <w:p w:rsidR="000C775A" w:rsidRPr="00157914" w:rsidRDefault="000C775A" w:rsidP="00F243F1">
            <w:pPr>
              <w:rPr>
                <w:rFonts w:cstheme="minorHAnsi"/>
                <w:sz w:val="18"/>
                <w:szCs w:val="18"/>
              </w:rPr>
            </w:pPr>
            <w:r w:rsidRPr="00157914">
              <w:rPr>
                <w:rFonts w:cstheme="minorHAnsi"/>
                <w:sz w:val="18"/>
                <w:szCs w:val="18"/>
              </w:rPr>
              <w:t xml:space="preserve">Tenant find and rent collection                                                                                                                                                 </w:t>
            </w:r>
          </w:p>
        </w:tc>
      </w:tr>
    </w:tbl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Set up fee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£600</w:t>
      </w: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Credit checks per person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£25</w:t>
      </w: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Monthly fee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 xml:space="preserve">9% 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10.8%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775A" w:rsidRPr="00157914" w:rsidTr="00F243F1">
        <w:tc>
          <w:tcPr>
            <w:tcW w:w="10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ECFF"/>
          </w:tcPr>
          <w:p w:rsidR="000C775A" w:rsidRPr="00157914" w:rsidRDefault="000C775A" w:rsidP="00F243F1">
            <w:pPr>
              <w:rPr>
                <w:rFonts w:cstheme="minorHAnsi"/>
                <w:sz w:val="18"/>
                <w:szCs w:val="18"/>
              </w:rPr>
            </w:pPr>
            <w:r w:rsidRPr="00157914">
              <w:rPr>
                <w:rFonts w:cstheme="minorHAnsi"/>
                <w:sz w:val="18"/>
                <w:szCs w:val="18"/>
              </w:rPr>
              <w:t>Tenant find only</w:t>
            </w:r>
          </w:p>
        </w:tc>
      </w:tr>
    </w:tbl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Set up fee equivalent to one months rent (properties with rent less than £600.00 there is a minimum charge of £600.00)</w:t>
      </w: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Credit checks per person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£25.00</w:t>
      </w: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Deposit registration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£40.00</w:t>
      </w: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Section notice/letters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£60.00</w:t>
      </w: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Checkout fee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£120.00</w:t>
      </w:r>
    </w:p>
    <w:p w:rsidR="000C775A" w:rsidRPr="00157914" w:rsidRDefault="00C37D30" w:rsidP="00C37D30">
      <w:pPr>
        <w:spacing w:after="0"/>
        <w:rPr>
          <w:rFonts w:cstheme="minorHAnsi"/>
          <w:b/>
          <w:sz w:val="18"/>
          <w:szCs w:val="18"/>
        </w:rPr>
      </w:pPr>
      <w:r w:rsidRPr="00157914">
        <w:rPr>
          <w:rFonts w:cstheme="minorHAnsi"/>
          <w:b/>
          <w:sz w:val="18"/>
          <w:szCs w:val="18"/>
        </w:rPr>
        <w:t xml:space="preserve">   </w:t>
      </w:r>
      <w:r w:rsidR="000C775A" w:rsidRPr="00157914">
        <w:rPr>
          <w:rFonts w:cstheme="minorHAnsi"/>
          <w:b/>
          <w:sz w:val="18"/>
          <w:szCs w:val="18"/>
        </w:rPr>
        <w:t xml:space="preserve">Other fees </w:t>
      </w:r>
    </w:p>
    <w:p w:rsidR="000C775A" w:rsidRPr="00157914" w:rsidRDefault="00C37D30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</w:t>
      </w:r>
      <w:r w:rsidR="000C775A" w:rsidRPr="00157914">
        <w:rPr>
          <w:rFonts w:cstheme="minorHAnsi"/>
          <w:sz w:val="18"/>
          <w:szCs w:val="18"/>
        </w:rPr>
        <w:t>Preparation of paperw</w:t>
      </w:r>
      <w:r w:rsidRPr="00157914">
        <w:rPr>
          <w:rFonts w:cstheme="minorHAnsi"/>
          <w:sz w:val="18"/>
          <w:szCs w:val="18"/>
        </w:rPr>
        <w:t xml:space="preserve">ork and court attendance </w:t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</w:r>
      <w:r w:rsidRPr="00157914">
        <w:rPr>
          <w:rFonts w:cstheme="minorHAnsi"/>
          <w:sz w:val="18"/>
          <w:szCs w:val="18"/>
        </w:rPr>
        <w:tab/>
        <w:t>P</w:t>
      </w:r>
      <w:r w:rsidR="000C775A" w:rsidRPr="00157914">
        <w:rPr>
          <w:rFonts w:cstheme="minorHAnsi"/>
          <w:sz w:val="18"/>
          <w:szCs w:val="18"/>
        </w:rPr>
        <w:t xml:space="preserve">er </w:t>
      </w:r>
      <w:r w:rsidRPr="00157914">
        <w:rPr>
          <w:rFonts w:cstheme="minorHAnsi"/>
          <w:sz w:val="18"/>
          <w:szCs w:val="18"/>
        </w:rPr>
        <w:t>H</w:t>
      </w:r>
      <w:r w:rsidR="000C775A" w:rsidRPr="00157914">
        <w:rPr>
          <w:rFonts w:cstheme="minorHAnsi"/>
          <w:sz w:val="18"/>
          <w:szCs w:val="18"/>
        </w:rPr>
        <w:t xml:space="preserve">our </w:t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  <w:t>£30</w:t>
      </w:r>
      <w:r w:rsidRPr="00157914">
        <w:rPr>
          <w:rFonts w:cstheme="minorHAnsi"/>
          <w:sz w:val="18"/>
          <w:szCs w:val="18"/>
        </w:rPr>
        <w:t>.00</w:t>
      </w:r>
      <w:r w:rsidR="000C775A" w:rsidRPr="00157914">
        <w:rPr>
          <w:rFonts w:cstheme="minorHAnsi"/>
          <w:sz w:val="18"/>
          <w:szCs w:val="18"/>
        </w:rPr>
        <w:t xml:space="preserve"> </w:t>
      </w:r>
    </w:p>
    <w:p w:rsidR="000C775A" w:rsidRPr="00157914" w:rsidRDefault="00C37D30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  </w:t>
      </w:r>
      <w:r w:rsidR="000C775A" w:rsidRPr="00157914">
        <w:rPr>
          <w:rFonts w:cstheme="minorHAnsi"/>
          <w:sz w:val="18"/>
          <w:szCs w:val="18"/>
        </w:rPr>
        <w:t xml:space="preserve">End of tenancy deposit dispute lodging and paperwork </w:t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ab/>
        <w:t>£150</w:t>
      </w:r>
      <w:r w:rsidRPr="00157914">
        <w:rPr>
          <w:rFonts w:cstheme="minorHAnsi"/>
          <w:sz w:val="18"/>
          <w:szCs w:val="18"/>
        </w:rPr>
        <w:t>.00</w:t>
      </w:r>
      <w:r w:rsidR="000C775A" w:rsidRPr="00157914">
        <w:rPr>
          <w:rFonts w:cstheme="minorHAnsi"/>
          <w:sz w:val="18"/>
          <w:szCs w:val="18"/>
        </w:rPr>
        <w:t xml:space="preserve"> </w:t>
      </w:r>
    </w:p>
    <w:p w:rsidR="000C775A" w:rsidRPr="00157914" w:rsidRDefault="00C37D30" w:rsidP="000C775A">
      <w:pPr>
        <w:spacing w:after="0"/>
        <w:rPr>
          <w:rFonts w:cstheme="minorHAnsi"/>
          <w:b/>
          <w:sz w:val="18"/>
          <w:szCs w:val="18"/>
        </w:rPr>
      </w:pPr>
      <w:r w:rsidRPr="00157914">
        <w:rPr>
          <w:rFonts w:cstheme="minorHAnsi"/>
          <w:b/>
          <w:sz w:val="18"/>
          <w:szCs w:val="18"/>
        </w:rPr>
        <w:t xml:space="preserve">   </w:t>
      </w:r>
      <w:r w:rsidR="000C775A" w:rsidRPr="00157914">
        <w:rPr>
          <w:rFonts w:cstheme="minorHAnsi"/>
          <w:b/>
          <w:sz w:val="18"/>
          <w:szCs w:val="18"/>
        </w:rPr>
        <w:t xml:space="preserve">Advertising fee with dual agency </w:t>
      </w:r>
      <w:r w:rsidR="000C775A" w:rsidRPr="00157914">
        <w:rPr>
          <w:rFonts w:cstheme="minorHAnsi"/>
          <w:b/>
          <w:sz w:val="18"/>
          <w:szCs w:val="18"/>
        </w:rPr>
        <w:tab/>
      </w:r>
      <w:r w:rsidR="000C775A" w:rsidRPr="00157914">
        <w:rPr>
          <w:rFonts w:cstheme="minorHAnsi"/>
          <w:b/>
          <w:sz w:val="18"/>
          <w:szCs w:val="18"/>
        </w:rPr>
        <w:tab/>
      </w:r>
      <w:r w:rsidR="000C775A" w:rsidRPr="00157914">
        <w:rPr>
          <w:rFonts w:cstheme="minorHAnsi"/>
          <w:b/>
          <w:sz w:val="18"/>
          <w:szCs w:val="18"/>
        </w:rPr>
        <w:tab/>
      </w:r>
      <w:r w:rsidR="000C775A" w:rsidRPr="00157914">
        <w:rPr>
          <w:rFonts w:cstheme="minorHAnsi"/>
          <w:b/>
          <w:sz w:val="18"/>
          <w:szCs w:val="18"/>
        </w:rPr>
        <w:tab/>
      </w:r>
      <w:r w:rsidR="000C775A" w:rsidRPr="00157914">
        <w:rPr>
          <w:rFonts w:cstheme="minorHAnsi"/>
          <w:b/>
          <w:sz w:val="18"/>
          <w:szCs w:val="18"/>
        </w:rPr>
        <w:tab/>
      </w:r>
      <w:r w:rsidR="000C775A" w:rsidRPr="00157914">
        <w:rPr>
          <w:rFonts w:cstheme="minorHAnsi"/>
          <w:b/>
          <w:sz w:val="18"/>
          <w:szCs w:val="18"/>
        </w:rPr>
        <w:tab/>
      </w:r>
      <w:r w:rsidR="000C775A" w:rsidRPr="00157914">
        <w:rPr>
          <w:rFonts w:cstheme="minorHAnsi"/>
          <w:b/>
          <w:sz w:val="18"/>
          <w:szCs w:val="18"/>
        </w:rPr>
        <w:tab/>
      </w:r>
      <w:r w:rsidR="000C775A" w:rsidRPr="00157914">
        <w:rPr>
          <w:rFonts w:cstheme="minorHAnsi"/>
          <w:b/>
          <w:sz w:val="18"/>
          <w:szCs w:val="18"/>
        </w:rPr>
        <w:tab/>
      </w:r>
      <w:r w:rsidR="000C775A" w:rsidRPr="00157914">
        <w:rPr>
          <w:rFonts w:cstheme="minorHAnsi"/>
          <w:sz w:val="18"/>
          <w:szCs w:val="18"/>
        </w:rPr>
        <w:t xml:space="preserve">per week </w:t>
      </w:r>
      <w:r w:rsidR="000C775A" w:rsidRPr="00157914">
        <w:rPr>
          <w:rFonts w:cstheme="minorHAnsi"/>
          <w:sz w:val="18"/>
          <w:szCs w:val="18"/>
        </w:rPr>
        <w:tab/>
        <w:t>£30</w:t>
      </w:r>
      <w:r w:rsidR="00397826" w:rsidRPr="00157914">
        <w:rPr>
          <w:rFonts w:cstheme="minorHAnsi"/>
          <w:sz w:val="18"/>
          <w:szCs w:val="18"/>
        </w:rPr>
        <w:t>.00</w:t>
      </w:r>
    </w:p>
    <w:p w:rsidR="000C775A" w:rsidRPr="00157914" w:rsidRDefault="000C775A" w:rsidP="000C775A">
      <w:pPr>
        <w:spacing w:after="0"/>
        <w:rPr>
          <w:rFonts w:cstheme="minorHAnsi"/>
          <w:sz w:val="18"/>
          <w:szCs w:val="18"/>
        </w:rPr>
      </w:pPr>
      <w:r w:rsidRPr="00157914">
        <w:rPr>
          <w:rFonts w:cstheme="minorHAnsi"/>
          <w:sz w:val="18"/>
          <w:szCs w:val="18"/>
        </w:rPr>
        <w:t xml:space="preserve"> </w:t>
      </w:r>
      <w:r w:rsidR="00397826" w:rsidRPr="00157914">
        <w:rPr>
          <w:rFonts w:cstheme="minorHAnsi"/>
          <w:sz w:val="18"/>
          <w:szCs w:val="18"/>
        </w:rPr>
        <w:t xml:space="preserve"> </w:t>
      </w:r>
      <w:r w:rsidR="00157914" w:rsidRPr="00157914">
        <w:rPr>
          <w:rFonts w:cstheme="minorHAnsi"/>
          <w:sz w:val="18"/>
          <w:szCs w:val="18"/>
        </w:rPr>
        <w:t xml:space="preserve"> </w:t>
      </w:r>
      <w:r w:rsidRPr="00157914">
        <w:rPr>
          <w:rFonts w:cstheme="minorHAnsi"/>
          <w:sz w:val="18"/>
          <w:szCs w:val="18"/>
        </w:rPr>
        <w:t>(Only charged if other agents let property or you withdraw from our agreement prior to letting the property)</w:t>
      </w:r>
    </w:p>
    <w:p w:rsidR="00397826" w:rsidRPr="00157914" w:rsidRDefault="00397826" w:rsidP="00397826">
      <w:pPr>
        <w:spacing w:after="0"/>
        <w:rPr>
          <w:rFonts w:cstheme="minorHAnsi"/>
          <w:sz w:val="12"/>
          <w:szCs w:val="12"/>
        </w:rPr>
      </w:pPr>
      <w:r>
        <w:rPr>
          <w:rFonts w:cstheme="minorHAnsi"/>
          <w:sz w:val="17"/>
          <w:szCs w:val="17"/>
        </w:rPr>
        <w:t xml:space="preserve"> </w:t>
      </w:r>
    </w:p>
    <w:p w:rsidR="00397826" w:rsidRPr="00157914" w:rsidRDefault="00397826" w:rsidP="00D2141D">
      <w:pPr>
        <w:shd w:val="clear" w:color="auto" w:fill="FFFFFF"/>
        <w:spacing w:after="0"/>
        <w:rPr>
          <w:rFonts w:cstheme="minorHAnsi"/>
          <w:sz w:val="17"/>
          <w:szCs w:val="17"/>
        </w:rPr>
      </w:pPr>
      <w:r w:rsidRPr="00157914">
        <w:rPr>
          <w:rFonts w:cstheme="minorHAnsi"/>
          <w:sz w:val="17"/>
          <w:szCs w:val="17"/>
        </w:rPr>
        <w:t xml:space="preserve">LD PROPERTY IS A </w:t>
      </w:r>
      <w:r w:rsidRPr="00157914">
        <w:rPr>
          <w:rFonts w:cstheme="minorHAnsi"/>
          <w:b/>
          <w:sz w:val="17"/>
          <w:szCs w:val="17"/>
        </w:rPr>
        <w:t>SAFEAGENT LICENCED MEMBER</w:t>
      </w:r>
      <w:r w:rsidRPr="00157914">
        <w:rPr>
          <w:rFonts w:cstheme="minorHAnsi"/>
          <w:sz w:val="17"/>
          <w:szCs w:val="17"/>
        </w:rPr>
        <w:t xml:space="preserve"> </w:t>
      </w:r>
      <w:hyperlink r:id="rId14" w:history="1">
        <w:r w:rsidRPr="00157914">
          <w:rPr>
            <w:rStyle w:val="Hyperlink"/>
            <w:rFonts w:cstheme="minorHAnsi"/>
            <w:sz w:val="17"/>
            <w:szCs w:val="17"/>
            <w:u w:val="none"/>
          </w:rPr>
          <w:t>WWW.SAFEAGENT.CO.UK</w:t>
        </w:r>
      </w:hyperlink>
      <w:r w:rsidRPr="00157914">
        <w:rPr>
          <w:rFonts w:ascii="Arial" w:hAnsi="Arial" w:cs="Arial"/>
          <w:color w:val="222222"/>
        </w:rPr>
        <w:t xml:space="preserve"> </w:t>
      </w:r>
    </w:p>
    <w:p w:rsidR="00D2141D" w:rsidRPr="00397826" w:rsidRDefault="00D2141D" w:rsidP="00D2141D">
      <w:pPr>
        <w:shd w:val="clear" w:color="auto" w:fill="FFFFFF"/>
        <w:spacing w:after="0"/>
        <w:rPr>
          <w:rFonts w:cstheme="minorHAnsi"/>
          <w:color w:val="222222"/>
          <w:sz w:val="17"/>
          <w:szCs w:val="17"/>
          <w:u w:val="single"/>
        </w:rPr>
      </w:pPr>
      <w:r>
        <w:rPr>
          <w:rFonts w:cstheme="minorHAnsi"/>
          <w:color w:val="222222"/>
          <w:sz w:val="17"/>
          <w:szCs w:val="17"/>
        </w:rPr>
        <w:t>C</w:t>
      </w:r>
      <w:r w:rsidRPr="00D2141D">
        <w:rPr>
          <w:rFonts w:cstheme="minorHAnsi"/>
          <w:color w:val="222222"/>
          <w:sz w:val="17"/>
          <w:szCs w:val="17"/>
        </w:rPr>
        <w:t>LIENT MONEY PROTECTION SCHEME (</w:t>
      </w:r>
      <w:r w:rsidR="007F3520">
        <w:rPr>
          <w:rFonts w:cstheme="minorHAnsi"/>
          <w:color w:val="222222"/>
          <w:sz w:val="17"/>
          <w:szCs w:val="17"/>
        </w:rPr>
        <w:t xml:space="preserve">CMP) PROVIDED: </w:t>
      </w:r>
      <w:r w:rsidRPr="00D2141D">
        <w:rPr>
          <w:rFonts w:cstheme="minorHAnsi"/>
          <w:color w:val="222222"/>
          <w:sz w:val="17"/>
          <w:szCs w:val="17"/>
        </w:rPr>
        <w:t xml:space="preserve"> </w:t>
      </w:r>
      <w:r w:rsidRPr="007F3520">
        <w:rPr>
          <w:rFonts w:cstheme="minorHAnsi"/>
          <w:b/>
          <w:color w:val="222222"/>
          <w:sz w:val="17"/>
          <w:szCs w:val="17"/>
        </w:rPr>
        <w:t>SAFETAGENT</w:t>
      </w:r>
    </w:p>
    <w:p w:rsidR="00397826" w:rsidRDefault="007F3520" w:rsidP="000C775A">
      <w:pPr>
        <w:spacing w:after="0"/>
        <w:rPr>
          <w:rFonts w:cstheme="minorHAnsi"/>
          <w:b/>
          <w:sz w:val="17"/>
          <w:szCs w:val="17"/>
        </w:rPr>
      </w:pPr>
      <w:r>
        <w:rPr>
          <w:rFonts w:cstheme="minorHAnsi"/>
          <w:sz w:val="17"/>
          <w:szCs w:val="17"/>
        </w:rPr>
        <w:t xml:space="preserve">INDEPENDENT REDRESS PROVIDER: </w:t>
      </w:r>
      <w:r w:rsidRPr="007F3520">
        <w:rPr>
          <w:rFonts w:cstheme="minorHAnsi"/>
          <w:b/>
          <w:sz w:val="17"/>
          <w:szCs w:val="17"/>
        </w:rPr>
        <w:t>TPOs</w:t>
      </w:r>
      <w:r>
        <w:rPr>
          <w:rFonts w:cstheme="minorHAnsi"/>
          <w:b/>
          <w:sz w:val="17"/>
          <w:szCs w:val="17"/>
        </w:rPr>
        <w:t xml:space="preserve"> THE PROPERTY OMBUDSMAN</w:t>
      </w:r>
    </w:p>
    <w:p w:rsidR="000C775A" w:rsidRPr="009F2BA7" w:rsidRDefault="007F3520" w:rsidP="000C775A">
      <w:pPr>
        <w:spacing w:after="0"/>
        <w:rPr>
          <w:noProof/>
        </w:rPr>
      </w:pPr>
      <w:r>
        <w:rPr>
          <w:rFonts w:cstheme="minorHAnsi"/>
          <w:sz w:val="17"/>
          <w:szCs w:val="17"/>
        </w:rPr>
        <w:t xml:space="preserve">WE ARE THE ONL SALISBURY LETTING AGENT ACCREDITED BY </w:t>
      </w:r>
      <w:r w:rsidRPr="007F3520">
        <w:rPr>
          <w:rFonts w:cstheme="minorHAnsi"/>
          <w:b/>
          <w:sz w:val="17"/>
          <w:szCs w:val="17"/>
        </w:rPr>
        <w:t>TRADING STANDARDS</w:t>
      </w:r>
    </w:p>
    <w:p w:rsidR="000C775A" w:rsidRPr="009F5122" w:rsidRDefault="000C775A" w:rsidP="009F5122">
      <w:pPr>
        <w:spacing w:after="0"/>
        <w:rPr>
          <w:sz w:val="18"/>
        </w:rPr>
      </w:pPr>
    </w:p>
    <w:sectPr w:rsidR="000C775A" w:rsidRPr="009F5122" w:rsidSect="00164DA4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1F6B"/>
    <w:multiLevelType w:val="multilevel"/>
    <w:tmpl w:val="0FCE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87"/>
    <w:rsid w:val="000C775A"/>
    <w:rsid w:val="00101045"/>
    <w:rsid w:val="00157914"/>
    <w:rsid w:val="00164DA4"/>
    <w:rsid w:val="00187652"/>
    <w:rsid w:val="00397826"/>
    <w:rsid w:val="004215FF"/>
    <w:rsid w:val="005654D9"/>
    <w:rsid w:val="0064359B"/>
    <w:rsid w:val="00681E3A"/>
    <w:rsid w:val="006F0019"/>
    <w:rsid w:val="00755E6A"/>
    <w:rsid w:val="007F3520"/>
    <w:rsid w:val="0086758A"/>
    <w:rsid w:val="008D7962"/>
    <w:rsid w:val="009F2BA7"/>
    <w:rsid w:val="009F5122"/>
    <w:rsid w:val="00AB3F55"/>
    <w:rsid w:val="00BC329D"/>
    <w:rsid w:val="00C36388"/>
    <w:rsid w:val="00C37D30"/>
    <w:rsid w:val="00C513B3"/>
    <w:rsid w:val="00D2141D"/>
    <w:rsid w:val="00DE3387"/>
    <w:rsid w:val="00DF1DDF"/>
    <w:rsid w:val="00E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08E0B-89CA-412D-847B-29778F6F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7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BA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782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TMLCite">
    <w:name w:val="HTML Cite"/>
    <w:basedOn w:val="DefaultParagraphFont"/>
    <w:uiPriority w:val="99"/>
    <w:semiHidden/>
    <w:unhideWhenUsed/>
    <w:rsid w:val="003978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31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dproperty.co.uk" TargetMode="External"/><Relationship Id="rId3" Type="http://schemas.openxmlformats.org/officeDocument/2006/relationships/styles" Target="styles.xml"/><Relationship Id="rId7" Type="http://schemas.openxmlformats.org/officeDocument/2006/relationships/image" Target="cid:image003.jpg@01D64A32.487648E0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SAFEAGE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B000-7530-42DC-A05C-D3A2E62A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pothecary</dc:creator>
  <cp:keywords/>
  <dc:description/>
  <cp:lastModifiedBy>Evelyn Barnfield</cp:lastModifiedBy>
  <cp:revision>8</cp:revision>
  <cp:lastPrinted>2020-08-14T14:18:00Z</cp:lastPrinted>
  <dcterms:created xsi:type="dcterms:W3CDTF">2020-02-07T10:00:00Z</dcterms:created>
  <dcterms:modified xsi:type="dcterms:W3CDTF">2020-08-14T14:18:00Z</dcterms:modified>
</cp:coreProperties>
</file>